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CC" w:rsidRPr="00874A34" w:rsidRDefault="00F63CCC" w:rsidP="00F63CCC">
      <w:pPr>
        <w:pStyle w:val="NoSpacing"/>
        <w:jc w:val="center"/>
        <w:rPr>
          <w:rFonts w:ascii="Garamond" w:hAnsi="Garamond"/>
          <w:sz w:val="24"/>
          <w:szCs w:val="24"/>
        </w:rPr>
      </w:pPr>
      <w:r w:rsidRPr="00874A34">
        <w:rPr>
          <w:rFonts w:ascii="Garamond" w:hAnsi="Garamond"/>
          <w:sz w:val="24"/>
          <w:szCs w:val="24"/>
        </w:rPr>
        <w:t>Minutes</w:t>
      </w:r>
    </w:p>
    <w:p w:rsidR="00F63CCC" w:rsidRPr="00874A34" w:rsidRDefault="00F63CCC" w:rsidP="00F63CCC">
      <w:pPr>
        <w:pStyle w:val="NoSpacing"/>
        <w:jc w:val="center"/>
        <w:rPr>
          <w:rFonts w:ascii="Garamond" w:hAnsi="Garamond"/>
          <w:sz w:val="24"/>
          <w:szCs w:val="24"/>
        </w:rPr>
      </w:pPr>
      <w:r w:rsidRPr="00874A34">
        <w:rPr>
          <w:rFonts w:ascii="Garamond" w:hAnsi="Garamond"/>
          <w:sz w:val="24"/>
          <w:szCs w:val="24"/>
        </w:rPr>
        <w:t>Texas Bond Review Board</w:t>
      </w:r>
    </w:p>
    <w:p w:rsidR="00F63CCC" w:rsidRPr="00874A34" w:rsidRDefault="00F63CCC" w:rsidP="00F63CCC">
      <w:pPr>
        <w:pStyle w:val="NoSpacing"/>
        <w:jc w:val="center"/>
        <w:rPr>
          <w:rFonts w:ascii="Garamond" w:hAnsi="Garamond"/>
          <w:sz w:val="24"/>
          <w:szCs w:val="24"/>
        </w:rPr>
      </w:pPr>
      <w:r w:rsidRPr="00874A34">
        <w:rPr>
          <w:rFonts w:ascii="Garamond" w:hAnsi="Garamond"/>
          <w:sz w:val="24"/>
          <w:szCs w:val="24"/>
        </w:rPr>
        <w:t>Planning Session</w:t>
      </w:r>
    </w:p>
    <w:p w:rsidR="00F63CCC" w:rsidRPr="00874A34" w:rsidRDefault="00F63CCC" w:rsidP="00F63CCC">
      <w:pPr>
        <w:pStyle w:val="NoSpacing"/>
        <w:jc w:val="center"/>
        <w:rPr>
          <w:rFonts w:ascii="Garamond" w:hAnsi="Garamond"/>
          <w:sz w:val="24"/>
          <w:szCs w:val="24"/>
        </w:rPr>
      </w:pPr>
      <w:r>
        <w:rPr>
          <w:rFonts w:ascii="Garamond" w:hAnsi="Garamond"/>
          <w:sz w:val="24"/>
          <w:szCs w:val="24"/>
        </w:rPr>
        <w:t>Thursday</w:t>
      </w:r>
      <w:r w:rsidR="00207EF7">
        <w:rPr>
          <w:rFonts w:ascii="Garamond" w:hAnsi="Garamond"/>
          <w:sz w:val="24"/>
          <w:szCs w:val="24"/>
        </w:rPr>
        <w:t>,</w:t>
      </w:r>
      <w:r>
        <w:rPr>
          <w:rFonts w:ascii="Garamond" w:hAnsi="Garamond"/>
          <w:sz w:val="24"/>
          <w:szCs w:val="24"/>
        </w:rPr>
        <w:t xml:space="preserve"> </w:t>
      </w:r>
      <w:r w:rsidR="00844507">
        <w:rPr>
          <w:rFonts w:ascii="Garamond" w:hAnsi="Garamond"/>
          <w:sz w:val="24"/>
          <w:szCs w:val="24"/>
        </w:rPr>
        <w:t xml:space="preserve">June </w:t>
      </w:r>
      <w:r>
        <w:rPr>
          <w:rFonts w:ascii="Garamond" w:hAnsi="Garamond"/>
          <w:sz w:val="24"/>
          <w:szCs w:val="24"/>
        </w:rPr>
        <w:t>10</w:t>
      </w:r>
      <w:r w:rsidR="00237949">
        <w:rPr>
          <w:rFonts w:ascii="Garamond" w:hAnsi="Garamond"/>
          <w:sz w:val="24"/>
          <w:szCs w:val="24"/>
        </w:rPr>
        <w:t>, 2010</w:t>
      </w:r>
      <w:r w:rsidR="00844507">
        <w:rPr>
          <w:rFonts w:ascii="Garamond" w:hAnsi="Garamond"/>
          <w:sz w:val="24"/>
          <w:szCs w:val="24"/>
        </w:rPr>
        <w:t>,</w:t>
      </w:r>
      <w:r w:rsidRPr="00874A34">
        <w:rPr>
          <w:rFonts w:ascii="Garamond" w:hAnsi="Garamond"/>
          <w:sz w:val="24"/>
          <w:szCs w:val="24"/>
        </w:rPr>
        <w:t xml:space="preserve"> 10:00 a.m.</w:t>
      </w:r>
    </w:p>
    <w:p w:rsidR="00F63CCC" w:rsidRPr="00874A34" w:rsidRDefault="00F63CCC" w:rsidP="00F63CCC">
      <w:pPr>
        <w:pStyle w:val="NoSpacing"/>
        <w:jc w:val="center"/>
        <w:rPr>
          <w:rFonts w:ascii="Garamond" w:hAnsi="Garamond"/>
          <w:sz w:val="24"/>
          <w:szCs w:val="24"/>
        </w:rPr>
      </w:pPr>
      <w:r w:rsidRPr="00874A34">
        <w:rPr>
          <w:rFonts w:ascii="Garamond" w:hAnsi="Garamond"/>
          <w:sz w:val="24"/>
          <w:szCs w:val="24"/>
        </w:rPr>
        <w:t>Capitol Extension, Room E2.026</w:t>
      </w:r>
    </w:p>
    <w:p w:rsidR="00F63CCC" w:rsidRPr="00874A34" w:rsidRDefault="00F63CCC" w:rsidP="00F63CCC">
      <w:pPr>
        <w:pStyle w:val="NoSpacing"/>
        <w:jc w:val="center"/>
        <w:rPr>
          <w:rFonts w:ascii="Garamond" w:hAnsi="Garamond"/>
          <w:sz w:val="24"/>
          <w:szCs w:val="24"/>
        </w:rPr>
      </w:pPr>
      <w:r w:rsidRPr="00874A34">
        <w:rPr>
          <w:rFonts w:ascii="Garamond" w:hAnsi="Garamond"/>
          <w:sz w:val="24"/>
          <w:szCs w:val="24"/>
        </w:rPr>
        <w:t>1400 N. Congress Avenue</w:t>
      </w:r>
    </w:p>
    <w:p w:rsidR="00207EF7" w:rsidRPr="00874A34" w:rsidRDefault="00F63CCC" w:rsidP="00C54FD0">
      <w:pPr>
        <w:pStyle w:val="NoSpacing"/>
        <w:jc w:val="center"/>
        <w:rPr>
          <w:rFonts w:ascii="Garamond" w:hAnsi="Garamond"/>
          <w:sz w:val="24"/>
          <w:szCs w:val="24"/>
        </w:rPr>
      </w:pPr>
      <w:r w:rsidRPr="00874A34">
        <w:rPr>
          <w:rFonts w:ascii="Garamond" w:hAnsi="Garamond"/>
          <w:sz w:val="24"/>
          <w:szCs w:val="24"/>
        </w:rPr>
        <w:t>Austin, Texas</w:t>
      </w:r>
    </w:p>
    <w:p w:rsidR="00F63CCC" w:rsidRPr="00874A34" w:rsidRDefault="00F63CCC" w:rsidP="00262324">
      <w:pPr>
        <w:spacing w:before="100" w:beforeAutospacing="1" w:after="100" w:afterAutospacing="1" w:line="240" w:lineRule="auto"/>
        <w:jc w:val="both"/>
        <w:rPr>
          <w:rFonts w:ascii="Garamond" w:hAnsi="Garamond"/>
          <w:sz w:val="24"/>
          <w:szCs w:val="24"/>
        </w:rPr>
      </w:pPr>
      <w:r w:rsidRPr="00874A34">
        <w:rPr>
          <w:rFonts w:ascii="Garamond" w:hAnsi="Garamond"/>
          <w:sz w:val="24"/>
          <w:szCs w:val="24"/>
        </w:rPr>
        <w:t xml:space="preserve">The Texas Bond Review Board </w:t>
      </w:r>
      <w:r>
        <w:rPr>
          <w:rFonts w:ascii="Garamond" w:hAnsi="Garamond"/>
          <w:sz w:val="24"/>
          <w:szCs w:val="24"/>
        </w:rPr>
        <w:t xml:space="preserve">(BRB) </w:t>
      </w:r>
      <w:r w:rsidRPr="00874A34">
        <w:rPr>
          <w:rFonts w:ascii="Garamond" w:hAnsi="Garamond"/>
          <w:sz w:val="24"/>
          <w:szCs w:val="24"/>
        </w:rPr>
        <w:t xml:space="preserve">convened </w:t>
      </w:r>
      <w:r>
        <w:rPr>
          <w:rFonts w:ascii="Garamond" w:hAnsi="Garamond"/>
          <w:sz w:val="24"/>
          <w:szCs w:val="24"/>
        </w:rPr>
        <w:t xml:space="preserve">in </w:t>
      </w:r>
      <w:r w:rsidRPr="00874A34">
        <w:rPr>
          <w:rFonts w:ascii="Garamond" w:hAnsi="Garamond"/>
          <w:sz w:val="24"/>
          <w:szCs w:val="24"/>
        </w:rPr>
        <w:t xml:space="preserve">a planning session at 10:00 a.m., </w:t>
      </w:r>
      <w:r>
        <w:rPr>
          <w:rFonts w:ascii="Garamond" w:hAnsi="Garamond"/>
          <w:sz w:val="24"/>
          <w:szCs w:val="24"/>
        </w:rPr>
        <w:t>Thursday June 10</w:t>
      </w:r>
      <w:r w:rsidRPr="00874A34">
        <w:rPr>
          <w:rFonts w:ascii="Garamond" w:hAnsi="Garamond"/>
          <w:sz w:val="24"/>
          <w:szCs w:val="24"/>
        </w:rPr>
        <w:t>, 2010 in the Capitol Extension, Room E2.026 in Austin, Texas. Present were Ed Robertson, Chair and Alternate for Governor Rick Perry; Kenneth Besserman, Alternate for Comptroller Susan Combs</w:t>
      </w:r>
      <w:r>
        <w:rPr>
          <w:rFonts w:ascii="Garamond" w:hAnsi="Garamond"/>
          <w:sz w:val="24"/>
          <w:szCs w:val="24"/>
        </w:rPr>
        <w:t>; Don Green, Alternate for Lieutenant Governor David Dewhurst;</w:t>
      </w:r>
      <w:r w:rsidRPr="00874A34">
        <w:rPr>
          <w:rFonts w:ascii="Garamond" w:hAnsi="Garamond"/>
          <w:sz w:val="24"/>
          <w:szCs w:val="24"/>
        </w:rPr>
        <w:t xml:space="preserve"> and Andrew Blifford, Alter</w:t>
      </w:r>
      <w:r>
        <w:rPr>
          <w:rFonts w:ascii="Garamond" w:hAnsi="Garamond"/>
          <w:sz w:val="24"/>
          <w:szCs w:val="24"/>
        </w:rPr>
        <w:t>nate for Speaker Joe Strauss</w:t>
      </w:r>
      <w:r w:rsidRPr="00874A34">
        <w:rPr>
          <w:rFonts w:ascii="Garamond" w:hAnsi="Garamond"/>
          <w:sz w:val="24"/>
          <w:szCs w:val="24"/>
        </w:rPr>
        <w:t>. Also in attendance were Tom Griess with the Office of the Attorney General, Bond Finance Office staff members and others.</w:t>
      </w:r>
    </w:p>
    <w:p w:rsidR="00262324" w:rsidRDefault="00F63CCC" w:rsidP="00262324">
      <w:pPr>
        <w:pStyle w:val="AgendaCharChar"/>
        <w:numPr>
          <w:ilvl w:val="0"/>
          <w:numId w:val="2"/>
        </w:numPr>
        <w:tabs>
          <w:tab w:val="left" w:pos="630"/>
        </w:tabs>
        <w:spacing w:before="120" w:after="120" w:line="240" w:lineRule="auto"/>
        <w:ind w:left="450" w:hanging="450"/>
        <w:contextualSpacing/>
        <w:jc w:val="both"/>
        <w:rPr>
          <w:rFonts w:ascii="Garamond" w:hAnsi="Garamond"/>
          <w:b/>
          <w:bCs/>
          <w:sz w:val="24"/>
          <w:szCs w:val="24"/>
        </w:rPr>
      </w:pPr>
      <w:r w:rsidRPr="00874A34">
        <w:rPr>
          <w:rFonts w:ascii="Garamond" w:hAnsi="Garamond"/>
          <w:b/>
          <w:bCs/>
          <w:sz w:val="24"/>
          <w:szCs w:val="24"/>
        </w:rPr>
        <w:t>Call to Order</w:t>
      </w:r>
    </w:p>
    <w:p w:rsidR="00C54FD0" w:rsidRDefault="00F63CCC" w:rsidP="00262324">
      <w:pPr>
        <w:pStyle w:val="AgendaCharChar"/>
        <w:tabs>
          <w:tab w:val="left" w:pos="630"/>
        </w:tabs>
        <w:spacing w:before="120" w:after="0" w:line="240" w:lineRule="auto"/>
        <w:contextualSpacing/>
        <w:jc w:val="both"/>
        <w:rPr>
          <w:rFonts w:ascii="Garamond" w:hAnsi="Garamond"/>
          <w:sz w:val="24"/>
          <w:szCs w:val="24"/>
        </w:rPr>
      </w:pPr>
      <w:r>
        <w:rPr>
          <w:rFonts w:ascii="Garamond" w:hAnsi="Garamond"/>
          <w:sz w:val="24"/>
          <w:szCs w:val="24"/>
        </w:rPr>
        <w:t>Rob Latsha</w:t>
      </w:r>
      <w:r w:rsidRPr="00874A34">
        <w:rPr>
          <w:rFonts w:ascii="Garamond" w:hAnsi="Garamond"/>
          <w:sz w:val="24"/>
          <w:szCs w:val="24"/>
        </w:rPr>
        <w:t xml:space="preserve">, </w:t>
      </w:r>
      <w:r w:rsidR="00207EF7">
        <w:rPr>
          <w:rFonts w:ascii="Garamond" w:hAnsi="Garamond"/>
          <w:sz w:val="24"/>
          <w:szCs w:val="24"/>
        </w:rPr>
        <w:t xml:space="preserve">Senior </w:t>
      </w:r>
      <w:r>
        <w:rPr>
          <w:rFonts w:ascii="Garamond" w:hAnsi="Garamond"/>
          <w:sz w:val="24"/>
          <w:szCs w:val="24"/>
        </w:rPr>
        <w:t>Financial Analyst</w:t>
      </w:r>
      <w:r w:rsidRPr="00874A34">
        <w:rPr>
          <w:rFonts w:ascii="Garamond" w:hAnsi="Garamond"/>
          <w:sz w:val="24"/>
          <w:szCs w:val="24"/>
        </w:rPr>
        <w:t>, called the meeting to order at 10:</w:t>
      </w:r>
      <w:r>
        <w:rPr>
          <w:rFonts w:ascii="Garamond" w:hAnsi="Garamond"/>
          <w:sz w:val="24"/>
          <w:szCs w:val="24"/>
        </w:rPr>
        <w:t>03</w:t>
      </w:r>
      <w:r w:rsidRPr="00874A34">
        <w:rPr>
          <w:rFonts w:ascii="Garamond" w:hAnsi="Garamond"/>
          <w:sz w:val="24"/>
          <w:szCs w:val="24"/>
        </w:rPr>
        <w:t xml:space="preserve"> a.m. He announced that this was a planning meeting of Board staff to receive and discuss information relative to the applications before the Board. No votes would be taken.</w:t>
      </w:r>
    </w:p>
    <w:p w:rsidR="00262324" w:rsidRPr="00262324" w:rsidRDefault="00262324" w:rsidP="00262324">
      <w:pPr>
        <w:pStyle w:val="AgendaCharChar"/>
        <w:tabs>
          <w:tab w:val="left" w:pos="630"/>
        </w:tabs>
        <w:spacing w:before="120" w:after="0" w:line="240" w:lineRule="auto"/>
        <w:contextualSpacing/>
        <w:jc w:val="both"/>
        <w:rPr>
          <w:rFonts w:ascii="Garamond" w:hAnsi="Garamond"/>
          <w:b/>
          <w:bCs/>
          <w:sz w:val="24"/>
          <w:szCs w:val="24"/>
        </w:rPr>
      </w:pPr>
    </w:p>
    <w:p w:rsidR="00262324" w:rsidRPr="00262324" w:rsidRDefault="00F63CCC" w:rsidP="00262324">
      <w:pPr>
        <w:pStyle w:val="ListParagraph"/>
        <w:numPr>
          <w:ilvl w:val="0"/>
          <w:numId w:val="2"/>
        </w:numPr>
        <w:tabs>
          <w:tab w:val="left" w:pos="-1620"/>
        </w:tabs>
        <w:spacing w:before="120" w:after="120"/>
        <w:ind w:left="450" w:hanging="450"/>
        <w:jc w:val="both"/>
        <w:rPr>
          <w:b/>
        </w:rPr>
      </w:pPr>
      <w:r w:rsidRPr="00262324">
        <w:rPr>
          <w:b/>
        </w:rPr>
        <w:t xml:space="preserve">Texas Public Finance Authority </w:t>
      </w:r>
      <w:r w:rsidR="00DD06AE" w:rsidRPr="00262324">
        <w:rPr>
          <w:b/>
        </w:rPr>
        <w:t xml:space="preserve">(TPFA) </w:t>
      </w:r>
      <w:r w:rsidRPr="00262324">
        <w:rPr>
          <w:b/>
        </w:rPr>
        <w:t>State of Texas General Obligation Refunding Bonds, Series 2010, in one or more series</w:t>
      </w:r>
    </w:p>
    <w:p w:rsidR="00262324" w:rsidRDefault="00DD06AE" w:rsidP="00262324">
      <w:pPr>
        <w:tabs>
          <w:tab w:val="left" w:pos="-1620"/>
        </w:tabs>
        <w:spacing w:before="120" w:after="120" w:line="240" w:lineRule="auto"/>
        <w:jc w:val="both"/>
        <w:rPr>
          <w:rFonts w:ascii="Garamond" w:hAnsi="Garamond"/>
          <w:b/>
          <w:sz w:val="24"/>
          <w:szCs w:val="24"/>
        </w:rPr>
      </w:pPr>
      <w:r w:rsidRPr="00262324">
        <w:rPr>
          <w:rFonts w:ascii="Garamond" w:hAnsi="Garamond"/>
          <w:sz w:val="24"/>
          <w:szCs w:val="24"/>
        </w:rPr>
        <w:t xml:space="preserve">Representatives present were: </w:t>
      </w:r>
      <w:r w:rsidR="00F63CCC" w:rsidRPr="00262324">
        <w:rPr>
          <w:rFonts w:ascii="Garamond" w:hAnsi="Garamond"/>
          <w:sz w:val="24"/>
          <w:szCs w:val="24"/>
        </w:rPr>
        <w:t>Dwight Burns, Executive Director</w:t>
      </w:r>
      <w:r w:rsidRPr="00262324">
        <w:rPr>
          <w:rFonts w:ascii="Garamond" w:hAnsi="Garamond"/>
          <w:sz w:val="24"/>
          <w:szCs w:val="24"/>
        </w:rPr>
        <w:t xml:space="preserve">, TPFA; </w:t>
      </w:r>
      <w:r w:rsidR="00F63CCC" w:rsidRPr="00262324">
        <w:rPr>
          <w:rFonts w:ascii="Garamond" w:hAnsi="Garamond"/>
          <w:sz w:val="24"/>
          <w:szCs w:val="24"/>
        </w:rPr>
        <w:t>Susan Durso, General Counsel</w:t>
      </w:r>
      <w:r w:rsidRPr="00262324">
        <w:rPr>
          <w:rFonts w:ascii="Garamond" w:hAnsi="Garamond"/>
          <w:sz w:val="24"/>
          <w:szCs w:val="24"/>
        </w:rPr>
        <w:t xml:space="preserve">, TPFA; and </w:t>
      </w:r>
      <w:r w:rsidR="00F63CCC" w:rsidRPr="00262324">
        <w:rPr>
          <w:rFonts w:ascii="Garamond" w:hAnsi="Garamond"/>
          <w:sz w:val="24"/>
          <w:szCs w:val="24"/>
        </w:rPr>
        <w:t>Tim Kelley, Financial Advisor, Coastal Securities</w:t>
      </w:r>
    </w:p>
    <w:p w:rsidR="00262324" w:rsidRDefault="00B4432F" w:rsidP="00262324">
      <w:pPr>
        <w:tabs>
          <w:tab w:val="left" w:pos="-1620"/>
        </w:tabs>
        <w:spacing w:before="120" w:after="120" w:line="240" w:lineRule="auto"/>
        <w:jc w:val="both"/>
        <w:rPr>
          <w:rFonts w:ascii="Garamond" w:hAnsi="Garamond"/>
          <w:b/>
          <w:sz w:val="24"/>
          <w:szCs w:val="24"/>
        </w:rPr>
      </w:pPr>
      <w:r>
        <w:rPr>
          <w:rFonts w:ascii="Garamond" w:hAnsi="Garamond"/>
          <w:sz w:val="24"/>
          <w:szCs w:val="24"/>
        </w:rPr>
        <w:t>R</w:t>
      </w:r>
      <w:r w:rsidR="00DD06AE" w:rsidRPr="00237949">
        <w:rPr>
          <w:rFonts w:ascii="Garamond" w:hAnsi="Garamond"/>
          <w:sz w:val="24"/>
          <w:szCs w:val="24"/>
        </w:rPr>
        <w:t xml:space="preserve">ob Latsha gave </w:t>
      </w:r>
      <w:r w:rsidR="001E44F2">
        <w:rPr>
          <w:rFonts w:ascii="Garamond" w:hAnsi="Garamond"/>
          <w:sz w:val="24"/>
          <w:szCs w:val="24"/>
        </w:rPr>
        <w:t xml:space="preserve">a </w:t>
      </w:r>
      <w:r w:rsidR="00DD06AE" w:rsidRPr="00237949">
        <w:rPr>
          <w:rFonts w:ascii="Garamond" w:hAnsi="Garamond"/>
          <w:sz w:val="24"/>
          <w:szCs w:val="24"/>
        </w:rPr>
        <w:t>brief summary stating that TPFA was seeking approval to issue its State of Texas GO Refunding Bonds, Series 2010 in one or more series in a maximum par amount not to exceed $539,625,000 and maximum total proceeds amount not to exceed $600,000,000 including premiums, if any. TPFA’s ap</w:t>
      </w:r>
      <w:r>
        <w:rPr>
          <w:rFonts w:ascii="Garamond" w:hAnsi="Garamond"/>
          <w:sz w:val="24"/>
          <w:szCs w:val="24"/>
        </w:rPr>
        <w:t>plication provides for up to an</w:t>
      </w:r>
      <w:r w:rsidR="00DD06AE" w:rsidRPr="00237949">
        <w:rPr>
          <w:rFonts w:ascii="Garamond" w:hAnsi="Garamond"/>
          <w:sz w:val="24"/>
          <w:szCs w:val="24"/>
        </w:rPr>
        <w:t xml:space="preserve"> additional $14,000,000 of CP to be refunded if issued to finance client agency projects prior to the sale date. Refunding this additional CP would increase the total par amount up to the maximum of $539,625,000. T</w:t>
      </w:r>
      <w:r w:rsidR="00DD06AE" w:rsidRPr="00237949">
        <w:rPr>
          <w:rFonts w:ascii="Garamond" w:hAnsi="Garamond" w:cs="Times"/>
          <w:bCs/>
          <w:kern w:val="36"/>
          <w:sz w:val="24"/>
          <w:szCs w:val="24"/>
        </w:rPr>
        <w:t xml:space="preserve">he exact amount of par and premium cannot be determined until pricing. </w:t>
      </w:r>
    </w:p>
    <w:p w:rsidR="00DD06AE" w:rsidRPr="00262324" w:rsidRDefault="00DD06AE" w:rsidP="00262324">
      <w:pPr>
        <w:tabs>
          <w:tab w:val="left" w:pos="-1620"/>
        </w:tabs>
        <w:spacing w:before="120" w:after="120" w:line="240" w:lineRule="auto"/>
        <w:jc w:val="both"/>
        <w:rPr>
          <w:rFonts w:ascii="Garamond" w:hAnsi="Garamond"/>
          <w:b/>
          <w:sz w:val="24"/>
          <w:szCs w:val="24"/>
        </w:rPr>
      </w:pPr>
      <w:r w:rsidRPr="00237949">
        <w:rPr>
          <w:rFonts w:ascii="Garamond" w:hAnsi="Garamond"/>
          <w:sz w:val="24"/>
          <w:szCs w:val="24"/>
        </w:rPr>
        <w:t xml:space="preserve">TPFA is planning to refund a total of $201,000,000 in outstanding CP: $67,000,000, $24,000,000, and $110,000,000 issued for its Series 2002A, 2002B and 2008 Programs, respectively. This refunding will provide capacity for new CP issuances and enable TPFA to better </w:t>
      </w:r>
      <w:r w:rsidR="003C16F5">
        <w:rPr>
          <w:rFonts w:ascii="Garamond" w:hAnsi="Garamond"/>
          <w:sz w:val="24"/>
          <w:szCs w:val="24"/>
        </w:rPr>
        <w:t xml:space="preserve">manage future debt issuances. </w:t>
      </w:r>
    </w:p>
    <w:p w:rsidR="00B4432F" w:rsidRDefault="00DD06AE" w:rsidP="00262324">
      <w:pPr>
        <w:spacing w:before="120" w:after="120" w:line="240" w:lineRule="auto"/>
        <w:jc w:val="both"/>
        <w:rPr>
          <w:rFonts w:ascii="Garamond" w:hAnsi="Garamond"/>
          <w:sz w:val="24"/>
          <w:szCs w:val="24"/>
        </w:rPr>
      </w:pPr>
      <w:r w:rsidRPr="00237949">
        <w:rPr>
          <w:rFonts w:ascii="Garamond" w:hAnsi="Garamond"/>
          <w:sz w:val="24"/>
          <w:szCs w:val="24"/>
        </w:rPr>
        <w:t>The bonds will be issued as GO, tax-exempt, fixed-rate securities through a negotiated sale as serial, term and premium c</w:t>
      </w:r>
      <w:r w:rsidR="00A96DAD">
        <w:rPr>
          <w:rFonts w:ascii="Garamond" w:hAnsi="Garamond"/>
          <w:sz w:val="24"/>
          <w:szCs w:val="24"/>
        </w:rPr>
        <w:t>apital appreciation bonds</w:t>
      </w:r>
      <w:r w:rsidRPr="00237949">
        <w:rPr>
          <w:rFonts w:ascii="Garamond" w:hAnsi="Garamond"/>
          <w:sz w:val="24"/>
          <w:szCs w:val="24"/>
        </w:rPr>
        <w:t xml:space="preserve"> with an average life of 9.67 years. </w:t>
      </w:r>
    </w:p>
    <w:p w:rsidR="00611AE3" w:rsidRPr="00237949" w:rsidRDefault="00611AE3" w:rsidP="00262324">
      <w:pPr>
        <w:spacing w:before="120" w:after="120" w:line="240" w:lineRule="auto"/>
        <w:jc w:val="both"/>
        <w:rPr>
          <w:rFonts w:ascii="Garamond" w:hAnsi="Garamond"/>
          <w:sz w:val="24"/>
          <w:szCs w:val="24"/>
        </w:rPr>
      </w:pPr>
      <w:r w:rsidRPr="00207958">
        <w:rPr>
          <w:rFonts w:ascii="Garamond" w:hAnsi="Garamond"/>
          <w:sz w:val="24"/>
          <w:szCs w:val="24"/>
        </w:rPr>
        <w:t xml:space="preserve">In addition to Mr. Latsha’s comments, </w:t>
      </w:r>
      <w:r w:rsidR="00207EF7" w:rsidRPr="00207958">
        <w:rPr>
          <w:rFonts w:ascii="Garamond" w:hAnsi="Garamond"/>
          <w:sz w:val="24"/>
          <w:szCs w:val="24"/>
        </w:rPr>
        <w:t xml:space="preserve">Dwight Burns commented </w:t>
      </w:r>
      <w:r w:rsidR="00A96DAD" w:rsidRPr="00207958">
        <w:rPr>
          <w:rFonts w:ascii="Garamond" w:hAnsi="Garamond"/>
          <w:sz w:val="24"/>
          <w:szCs w:val="24"/>
        </w:rPr>
        <w:t>that TPFA will only advance refund outstanding debt if</w:t>
      </w:r>
      <w:r w:rsidR="00B4432F">
        <w:rPr>
          <w:rFonts w:ascii="Garamond" w:hAnsi="Garamond"/>
          <w:sz w:val="24"/>
          <w:szCs w:val="24"/>
        </w:rPr>
        <w:t xml:space="preserve"> it can achieve a </w:t>
      </w:r>
      <w:r w:rsidR="00A96DAD" w:rsidRPr="00207958">
        <w:rPr>
          <w:rFonts w:ascii="Garamond" w:hAnsi="Garamond"/>
          <w:sz w:val="24"/>
          <w:szCs w:val="24"/>
        </w:rPr>
        <w:t>3% net present value</w:t>
      </w:r>
      <w:r w:rsidR="00B4432F">
        <w:rPr>
          <w:rFonts w:ascii="Garamond" w:hAnsi="Garamond"/>
          <w:sz w:val="24"/>
          <w:szCs w:val="24"/>
        </w:rPr>
        <w:t xml:space="preserve"> savings, and based on current market conditions TPFA anticipates issuing approximately</w:t>
      </w:r>
      <w:r w:rsidR="00A96DAD" w:rsidRPr="00207958">
        <w:rPr>
          <w:rFonts w:ascii="Garamond" w:hAnsi="Garamond"/>
          <w:sz w:val="24"/>
          <w:szCs w:val="24"/>
        </w:rPr>
        <w:t xml:space="preserve"> </w:t>
      </w:r>
      <w:r w:rsidR="00207EF7" w:rsidRPr="00207958">
        <w:rPr>
          <w:rFonts w:ascii="Garamond" w:hAnsi="Garamond"/>
          <w:sz w:val="24"/>
          <w:szCs w:val="24"/>
        </w:rPr>
        <w:t xml:space="preserve">$342,000,000 </w:t>
      </w:r>
      <w:r w:rsidR="00B4432F">
        <w:rPr>
          <w:rFonts w:ascii="Garamond" w:hAnsi="Garamond"/>
          <w:sz w:val="24"/>
          <w:szCs w:val="24"/>
        </w:rPr>
        <w:t xml:space="preserve">of bonds </w:t>
      </w:r>
      <w:r w:rsidR="00207EF7" w:rsidRPr="00207958">
        <w:rPr>
          <w:rFonts w:ascii="Garamond" w:hAnsi="Garamond"/>
          <w:sz w:val="24"/>
          <w:szCs w:val="24"/>
        </w:rPr>
        <w:t xml:space="preserve">instead of the $539,625,000 originally planned. The pricing </w:t>
      </w:r>
      <w:r w:rsidRPr="00207958">
        <w:rPr>
          <w:rFonts w:ascii="Garamond" w:hAnsi="Garamond"/>
          <w:sz w:val="24"/>
          <w:szCs w:val="24"/>
        </w:rPr>
        <w:t>is scheduled to occur on June 22, 2010.</w:t>
      </w:r>
      <w:r w:rsidR="00801D0D">
        <w:rPr>
          <w:rFonts w:ascii="Garamond" w:hAnsi="Garamond"/>
          <w:sz w:val="24"/>
          <w:szCs w:val="24"/>
        </w:rPr>
        <w:t xml:space="preserve"> Additionally, the refunding will help accommodate </w:t>
      </w:r>
      <w:r w:rsidR="00A96DAD" w:rsidRPr="00207958">
        <w:rPr>
          <w:rFonts w:ascii="Garamond" w:hAnsi="Garamond"/>
          <w:sz w:val="24"/>
          <w:szCs w:val="24"/>
        </w:rPr>
        <w:t>the liquidity needs of the Cancer Prevention Research Institute of Texas and the Texas Windstorm Insurance Association CP programs.</w:t>
      </w:r>
    </w:p>
    <w:p w:rsidR="00F63CCC" w:rsidRPr="006E29E6" w:rsidRDefault="00F63CCC" w:rsidP="00262324">
      <w:pPr>
        <w:pStyle w:val="ListParagraph"/>
        <w:numPr>
          <w:ilvl w:val="0"/>
          <w:numId w:val="1"/>
        </w:numPr>
        <w:tabs>
          <w:tab w:val="num" w:pos="-1440"/>
        </w:tabs>
        <w:spacing w:before="120" w:after="120"/>
        <w:ind w:left="547"/>
        <w:jc w:val="both"/>
        <w:rPr>
          <w:b/>
        </w:rPr>
      </w:pPr>
      <w:r w:rsidRPr="006E29E6">
        <w:rPr>
          <w:b/>
        </w:rPr>
        <w:lastRenderedPageBreak/>
        <w:t xml:space="preserve">Final Approval of Recommended Changes to Title 34 Texas Administrative Code, Part 9, Chapter 181.9 </w:t>
      </w:r>
    </w:p>
    <w:p w:rsidR="00F63CCC" w:rsidRDefault="00F63CCC" w:rsidP="00262324">
      <w:pPr>
        <w:tabs>
          <w:tab w:val="num" w:pos="-360"/>
        </w:tabs>
        <w:spacing w:before="120" w:after="0" w:line="240" w:lineRule="auto"/>
        <w:ind w:left="547" w:hanging="547"/>
        <w:rPr>
          <w:rFonts w:ascii="Garamond" w:hAnsi="Garamond"/>
          <w:sz w:val="24"/>
          <w:szCs w:val="24"/>
        </w:rPr>
      </w:pPr>
      <w:r w:rsidRPr="00F63CCC">
        <w:rPr>
          <w:rFonts w:ascii="Garamond" w:hAnsi="Garamond"/>
          <w:sz w:val="24"/>
          <w:szCs w:val="24"/>
        </w:rPr>
        <w:t>Staff is seeking authority at the Board meeting to approve the final changes to Chapter 181.9</w:t>
      </w:r>
      <w:r w:rsidR="006E29E6">
        <w:rPr>
          <w:rFonts w:ascii="Garamond" w:hAnsi="Garamond"/>
          <w:sz w:val="24"/>
          <w:szCs w:val="24"/>
        </w:rPr>
        <w:t>.</w:t>
      </w:r>
    </w:p>
    <w:p w:rsidR="00262324" w:rsidRPr="00C54FD0" w:rsidRDefault="00262324" w:rsidP="00262324">
      <w:pPr>
        <w:tabs>
          <w:tab w:val="num" w:pos="-360"/>
        </w:tabs>
        <w:spacing w:after="0" w:line="240" w:lineRule="auto"/>
        <w:ind w:left="547" w:hanging="547"/>
        <w:rPr>
          <w:rFonts w:ascii="Garamond" w:hAnsi="Garamond"/>
          <w:sz w:val="24"/>
          <w:szCs w:val="24"/>
        </w:rPr>
      </w:pPr>
    </w:p>
    <w:p w:rsidR="00F63CCC" w:rsidRPr="006E29E6" w:rsidRDefault="00F63CCC" w:rsidP="00262324">
      <w:pPr>
        <w:widowControl w:val="0"/>
        <w:numPr>
          <w:ilvl w:val="0"/>
          <w:numId w:val="1"/>
        </w:numPr>
        <w:tabs>
          <w:tab w:val="num" w:pos="-360"/>
        </w:tabs>
        <w:autoSpaceDE w:val="0"/>
        <w:autoSpaceDN w:val="0"/>
        <w:adjustRightInd w:val="0"/>
        <w:spacing w:before="120" w:after="120" w:line="240" w:lineRule="auto"/>
        <w:ind w:left="547"/>
        <w:jc w:val="both"/>
        <w:rPr>
          <w:rFonts w:ascii="Garamond" w:hAnsi="Garamond"/>
          <w:b/>
          <w:sz w:val="24"/>
          <w:szCs w:val="24"/>
        </w:rPr>
      </w:pPr>
      <w:r w:rsidRPr="00F63CCC">
        <w:rPr>
          <w:rFonts w:ascii="Garamond" w:hAnsi="Garamond"/>
          <w:b/>
          <w:sz w:val="24"/>
          <w:szCs w:val="24"/>
        </w:rPr>
        <w:t xml:space="preserve">Presentation by the Texas Water Development Board </w:t>
      </w:r>
      <w:r w:rsidR="006E29E6">
        <w:rPr>
          <w:rFonts w:ascii="Garamond" w:hAnsi="Garamond"/>
          <w:b/>
          <w:sz w:val="24"/>
          <w:szCs w:val="24"/>
        </w:rPr>
        <w:t xml:space="preserve">(TWDB) </w:t>
      </w:r>
      <w:r w:rsidRPr="00F63CCC">
        <w:rPr>
          <w:rFonts w:ascii="Garamond" w:hAnsi="Garamond"/>
          <w:b/>
          <w:sz w:val="24"/>
          <w:szCs w:val="24"/>
        </w:rPr>
        <w:t>on its request to reclassify five issues of State Participation</w:t>
      </w:r>
      <w:r w:rsidR="00B65734">
        <w:rPr>
          <w:rFonts w:ascii="Garamond" w:hAnsi="Garamond"/>
          <w:b/>
          <w:sz w:val="24"/>
          <w:szCs w:val="24"/>
        </w:rPr>
        <w:t xml:space="preserve"> (SP)</w:t>
      </w:r>
      <w:r w:rsidRPr="00F63CCC">
        <w:rPr>
          <w:rFonts w:ascii="Garamond" w:hAnsi="Garamond"/>
          <w:b/>
          <w:sz w:val="24"/>
          <w:szCs w:val="24"/>
        </w:rPr>
        <w:t xml:space="preserve"> general obligation bonds from not self-supporting to self-supporting</w:t>
      </w:r>
    </w:p>
    <w:p w:rsidR="00F63CCC" w:rsidRDefault="006E29E6" w:rsidP="00262324">
      <w:pPr>
        <w:widowControl w:val="0"/>
        <w:tabs>
          <w:tab w:val="num" w:pos="-360"/>
        </w:tabs>
        <w:autoSpaceDE w:val="0"/>
        <w:autoSpaceDN w:val="0"/>
        <w:adjustRightInd w:val="0"/>
        <w:spacing w:before="120" w:after="120" w:line="240" w:lineRule="auto"/>
        <w:rPr>
          <w:rFonts w:ascii="Garamond" w:hAnsi="Garamond"/>
          <w:sz w:val="24"/>
          <w:szCs w:val="24"/>
          <w:u w:val="single"/>
        </w:rPr>
      </w:pPr>
      <w:r w:rsidRPr="006E29E6">
        <w:rPr>
          <w:rFonts w:ascii="Garamond" w:hAnsi="Garamond"/>
          <w:sz w:val="24"/>
          <w:szCs w:val="24"/>
        </w:rPr>
        <w:t>Representatives present were</w:t>
      </w:r>
      <w:r w:rsidRPr="00C54FD0">
        <w:rPr>
          <w:rFonts w:ascii="Garamond" w:hAnsi="Garamond"/>
          <w:sz w:val="24"/>
          <w:szCs w:val="24"/>
        </w:rPr>
        <w:t xml:space="preserve"> </w:t>
      </w:r>
      <w:r w:rsidR="00F63CCC" w:rsidRPr="00F63CCC">
        <w:rPr>
          <w:rFonts w:ascii="Garamond" w:hAnsi="Garamond"/>
          <w:sz w:val="24"/>
          <w:szCs w:val="24"/>
        </w:rPr>
        <w:t xml:space="preserve">Melanie Callahan, Chief Financial Officer </w:t>
      </w:r>
      <w:r w:rsidRPr="00C54FD0">
        <w:rPr>
          <w:rFonts w:ascii="Garamond" w:hAnsi="Garamond"/>
          <w:sz w:val="24"/>
          <w:szCs w:val="24"/>
        </w:rPr>
        <w:t xml:space="preserve">and </w:t>
      </w:r>
      <w:r w:rsidR="00F63CCC" w:rsidRPr="00F63CCC">
        <w:rPr>
          <w:rFonts w:ascii="Garamond" w:hAnsi="Garamond"/>
          <w:sz w:val="24"/>
          <w:szCs w:val="24"/>
        </w:rPr>
        <w:t>Jerry Kyle, Partner, Co-Bond Counsel, Andrews Kurth LLP</w:t>
      </w:r>
    </w:p>
    <w:p w:rsidR="006E29E6" w:rsidRDefault="00237949" w:rsidP="00262324">
      <w:pPr>
        <w:widowControl w:val="0"/>
        <w:tabs>
          <w:tab w:val="num" w:pos="-360"/>
        </w:tabs>
        <w:autoSpaceDE w:val="0"/>
        <w:autoSpaceDN w:val="0"/>
        <w:adjustRightInd w:val="0"/>
        <w:spacing w:before="120" w:after="120" w:line="240" w:lineRule="auto"/>
        <w:jc w:val="both"/>
        <w:rPr>
          <w:rFonts w:ascii="Garamond" w:hAnsi="Garamond"/>
          <w:sz w:val="24"/>
          <w:szCs w:val="24"/>
        </w:rPr>
      </w:pPr>
      <w:r w:rsidRPr="00237949">
        <w:rPr>
          <w:rFonts w:ascii="Garamond" w:hAnsi="Garamond"/>
          <w:sz w:val="24"/>
          <w:szCs w:val="24"/>
        </w:rPr>
        <w:t xml:space="preserve">Rob Latsha commented that </w:t>
      </w:r>
      <w:r w:rsidR="00B65734">
        <w:rPr>
          <w:rFonts w:ascii="Garamond" w:hAnsi="Garamond"/>
          <w:sz w:val="24"/>
          <w:szCs w:val="24"/>
        </w:rPr>
        <w:t>TWDB approached BRB staff about reclassifying</w:t>
      </w:r>
      <w:r w:rsidR="00801D0D">
        <w:rPr>
          <w:rFonts w:ascii="Garamond" w:hAnsi="Garamond"/>
          <w:sz w:val="24"/>
          <w:szCs w:val="24"/>
        </w:rPr>
        <w:t xml:space="preserve"> approximately $140,000,000 of</w:t>
      </w:r>
      <w:r>
        <w:rPr>
          <w:rFonts w:ascii="Garamond" w:hAnsi="Garamond"/>
          <w:sz w:val="24"/>
          <w:szCs w:val="24"/>
        </w:rPr>
        <w:t xml:space="preserve"> outstanding S</w:t>
      </w:r>
      <w:r w:rsidR="00B65734">
        <w:rPr>
          <w:rFonts w:ascii="Garamond" w:hAnsi="Garamond"/>
          <w:sz w:val="24"/>
          <w:szCs w:val="24"/>
        </w:rPr>
        <w:t xml:space="preserve">P </w:t>
      </w:r>
      <w:r w:rsidR="00C54FD0">
        <w:rPr>
          <w:rFonts w:ascii="Garamond" w:hAnsi="Garamond"/>
          <w:sz w:val="24"/>
          <w:szCs w:val="24"/>
        </w:rPr>
        <w:t>debt</w:t>
      </w:r>
      <w:r>
        <w:rPr>
          <w:rFonts w:ascii="Garamond" w:hAnsi="Garamond"/>
          <w:sz w:val="24"/>
          <w:szCs w:val="24"/>
        </w:rPr>
        <w:t xml:space="preserve"> from not self-su</w:t>
      </w:r>
      <w:r w:rsidR="00C54FD0">
        <w:rPr>
          <w:rFonts w:ascii="Garamond" w:hAnsi="Garamond"/>
          <w:sz w:val="24"/>
          <w:szCs w:val="24"/>
        </w:rPr>
        <w:t>pporting to self-supporting</w:t>
      </w:r>
      <w:r w:rsidR="009D03ED">
        <w:rPr>
          <w:rFonts w:ascii="Garamond" w:hAnsi="Garamond"/>
          <w:sz w:val="24"/>
          <w:szCs w:val="24"/>
        </w:rPr>
        <w:t xml:space="preserve">. </w:t>
      </w:r>
      <w:r w:rsidR="00801D0D">
        <w:rPr>
          <w:rFonts w:ascii="Garamond" w:hAnsi="Garamond"/>
          <w:sz w:val="24"/>
          <w:szCs w:val="24"/>
        </w:rPr>
        <w:t xml:space="preserve">The SP </w:t>
      </w:r>
      <w:r>
        <w:rPr>
          <w:rFonts w:ascii="Garamond" w:hAnsi="Garamond"/>
          <w:sz w:val="24"/>
          <w:szCs w:val="24"/>
        </w:rPr>
        <w:t>program is unique because it allow</w:t>
      </w:r>
      <w:r w:rsidR="00844507">
        <w:rPr>
          <w:rFonts w:ascii="Garamond" w:hAnsi="Garamond"/>
          <w:sz w:val="24"/>
          <w:szCs w:val="24"/>
        </w:rPr>
        <w:t>s</w:t>
      </w:r>
      <w:r>
        <w:rPr>
          <w:rFonts w:ascii="Garamond" w:hAnsi="Garamond"/>
          <w:sz w:val="24"/>
          <w:szCs w:val="24"/>
        </w:rPr>
        <w:t xml:space="preserve"> the TWDB to offer loans with deferred interest of up to 9 years thus requiring an initial general appropriation until cash flow from the loan repayments is sufficient to cover debt service.</w:t>
      </w:r>
      <w:r w:rsidR="00801D0D" w:rsidRPr="00801D0D">
        <w:rPr>
          <w:rFonts w:ascii="Garamond" w:hAnsi="Garamond"/>
          <w:sz w:val="24"/>
          <w:szCs w:val="24"/>
        </w:rPr>
        <w:t xml:space="preserve"> </w:t>
      </w:r>
    </w:p>
    <w:p w:rsidR="00237949" w:rsidRDefault="00237949" w:rsidP="00262324">
      <w:pPr>
        <w:widowControl w:val="0"/>
        <w:tabs>
          <w:tab w:val="num" w:pos="-360"/>
        </w:tabs>
        <w:autoSpaceDE w:val="0"/>
        <w:autoSpaceDN w:val="0"/>
        <w:adjustRightInd w:val="0"/>
        <w:spacing w:before="120" w:after="120" w:line="240" w:lineRule="auto"/>
        <w:jc w:val="both"/>
        <w:rPr>
          <w:rFonts w:ascii="Garamond" w:hAnsi="Garamond"/>
          <w:sz w:val="24"/>
          <w:szCs w:val="24"/>
        </w:rPr>
      </w:pPr>
      <w:r>
        <w:rPr>
          <w:rFonts w:ascii="Garamond" w:hAnsi="Garamond"/>
          <w:sz w:val="24"/>
          <w:szCs w:val="24"/>
        </w:rPr>
        <w:t xml:space="preserve">The reclassification will require the TWDB to certify that each series of such bonds no longer require payment from </w:t>
      </w:r>
      <w:r w:rsidR="00C54FD0">
        <w:rPr>
          <w:rFonts w:ascii="Garamond" w:hAnsi="Garamond"/>
          <w:sz w:val="24"/>
          <w:szCs w:val="24"/>
        </w:rPr>
        <w:t xml:space="preserve">the </w:t>
      </w:r>
      <w:r>
        <w:rPr>
          <w:rFonts w:ascii="Garamond" w:hAnsi="Garamond"/>
          <w:sz w:val="24"/>
          <w:szCs w:val="24"/>
        </w:rPr>
        <w:t>general revenue</w:t>
      </w:r>
      <w:r w:rsidR="00C54FD0">
        <w:rPr>
          <w:rFonts w:ascii="Garamond" w:hAnsi="Garamond"/>
          <w:sz w:val="24"/>
          <w:szCs w:val="24"/>
        </w:rPr>
        <w:t xml:space="preserve"> fund</w:t>
      </w:r>
      <w:r>
        <w:rPr>
          <w:rFonts w:ascii="Garamond" w:hAnsi="Garamond"/>
          <w:sz w:val="24"/>
          <w:szCs w:val="24"/>
        </w:rPr>
        <w:t xml:space="preserve"> of the state. This certification would be accompanied by a cash flow statement that demonstrates that the TWDB’s Bond Payment Account will receive sufficient cash flow during the remaining amortization period to pay</w:t>
      </w:r>
      <w:r w:rsidR="00C54FD0">
        <w:rPr>
          <w:rFonts w:ascii="Garamond" w:hAnsi="Garamond"/>
          <w:sz w:val="24"/>
          <w:szCs w:val="24"/>
        </w:rPr>
        <w:t xml:space="preserve"> outstanding</w:t>
      </w:r>
      <w:r>
        <w:rPr>
          <w:rFonts w:ascii="Garamond" w:hAnsi="Garamond"/>
          <w:sz w:val="24"/>
          <w:szCs w:val="24"/>
        </w:rPr>
        <w:t xml:space="preserve"> debt service</w:t>
      </w:r>
      <w:r w:rsidR="009D03ED">
        <w:rPr>
          <w:rFonts w:ascii="Garamond" w:hAnsi="Garamond"/>
          <w:sz w:val="24"/>
          <w:szCs w:val="24"/>
        </w:rPr>
        <w:t xml:space="preserve">. </w:t>
      </w:r>
      <w:r>
        <w:rPr>
          <w:rFonts w:ascii="Garamond" w:hAnsi="Garamond"/>
          <w:sz w:val="24"/>
          <w:szCs w:val="24"/>
        </w:rPr>
        <w:t>Based on the TWDB’s certification, the Bond Review Board will then certify to the LBB that the debt will not</w:t>
      </w:r>
      <w:r w:rsidR="00C54FD0">
        <w:rPr>
          <w:rFonts w:ascii="Garamond" w:hAnsi="Garamond"/>
          <w:sz w:val="24"/>
          <w:szCs w:val="24"/>
        </w:rPr>
        <w:t xml:space="preserve"> require future general revenue draws. The debt will then be</w:t>
      </w:r>
      <w:r>
        <w:rPr>
          <w:rFonts w:ascii="Garamond" w:hAnsi="Garamond"/>
          <w:sz w:val="24"/>
          <w:szCs w:val="24"/>
        </w:rPr>
        <w:t xml:space="preserve"> removed from the</w:t>
      </w:r>
      <w:r w:rsidR="00C54FD0">
        <w:rPr>
          <w:rFonts w:ascii="Garamond" w:hAnsi="Garamond"/>
          <w:sz w:val="24"/>
          <w:szCs w:val="24"/>
        </w:rPr>
        <w:t xml:space="preserve"> Constitutional Debt Limit</w:t>
      </w:r>
      <w:r w:rsidR="00B65734">
        <w:rPr>
          <w:rFonts w:ascii="Garamond" w:hAnsi="Garamond"/>
          <w:sz w:val="24"/>
          <w:szCs w:val="24"/>
        </w:rPr>
        <w:t xml:space="preserve"> (CDL)</w:t>
      </w:r>
      <w:r>
        <w:rPr>
          <w:rFonts w:ascii="Garamond" w:hAnsi="Garamond"/>
          <w:sz w:val="24"/>
          <w:szCs w:val="24"/>
        </w:rPr>
        <w:t xml:space="preserve"> calculation.</w:t>
      </w:r>
    </w:p>
    <w:p w:rsidR="00E46805" w:rsidRDefault="001B7E2B" w:rsidP="00262324">
      <w:pPr>
        <w:widowControl w:val="0"/>
        <w:tabs>
          <w:tab w:val="num" w:pos="-360"/>
        </w:tabs>
        <w:autoSpaceDE w:val="0"/>
        <w:autoSpaceDN w:val="0"/>
        <w:adjustRightInd w:val="0"/>
        <w:spacing w:before="120" w:after="120" w:line="240" w:lineRule="auto"/>
        <w:jc w:val="both"/>
        <w:rPr>
          <w:rFonts w:ascii="Garamond" w:hAnsi="Garamond"/>
          <w:sz w:val="24"/>
          <w:szCs w:val="24"/>
        </w:rPr>
      </w:pPr>
      <w:r>
        <w:rPr>
          <w:rFonts w:ascii="Garamond" w:hAnsi="Garamond"/>
          <w:sz w:val="24"/>
          <w:szCs w:val="24"/>
        </w:rPr>
        <w:t>In addition to Mr. Latsha’s comments, Melanie Callahan stated</w:t>
      </w:r>
      <w:r w:rsidR="00B65734">
        <w:rPr>
          <w:rFonts w:ascii="Garamond" w:hAnsi="Garamond"/>
          <w:sz w:val="24"/>
          <w:szCs w:val="24"/>
        </w:rPr>
        <w:t xml:space="preserve"> that the SP</w:t>
      </w:r>
      <w:r w:rsidR="00801D0D">
        <w:rPr>
          <w:rFonts w:ascii="Garamond" w:hAnsi="Garamond"/>
          <w:sz w:val="24"/>
          <w:szCs w:val="24"/>
        </w:rPr>
        <w:t xml:space="preserve"> p</w:t>
      </w:r>
      <w:r w:rsidR="00385F0A">
        <w:rPr>
          <w:rFonts w:ascii="Garamond" w:hAnsi="Garamond"/>
          <w:sz w:val="24"/>
          <w:szCs w:val="24"/>
        </w:rPr>
        <w:t>rogram allows the state to participate in assisting any political subdivision and water supply corporations in funding a water or wastewater project. The program allows entitie</w:t>
      </w:r>
      <w:r w:rsidR="00C54FD0">
        <w:rPr>
          <w:rFonts w:ascii="Garamond" w:hAnsi="Garamond"/>
          <w:sz w:val="24"/>
          <w:szCs w:val="24"/>
        </w:rPr>
        <w:t>s to defer debt-service payment</w:t>
      </w:r>
      <w:r w:rsidR="00385F0A">
        <w:rPr>
          <w:rFonts w:ascii="Garamond" w:hAnsi="Garamond"/>
          <w:sz w:val="24"/>
          <w:szCs w:val="24"/>
        </w:rPr>
        <w:t>s for 9 years. After the 9 y</w:t>
      </w:r>
      <w:r w:rsidR="00B65734">
        <w:rPr>
          <w:rFonts w:ascii="Garamond" w:hAnsi="Garamond"/>
          <w:sz w:val="24"/>
          <w:szCs w:val="24"/>
        </w:rPr>
        <w:t>ears, the entities begin making</w:t>
      </w:r>
      <w:r w:rsidR="00385F0A">
        <w:rPr>
          <w:rFonts w:ascii="Garamond" w:hAnsi="Garamond"/>
          <w:sz w:val="24"/>
          <w:szCs w:val="24"/>
        </w:rPr>
        <w:t xml:space="preserve"> interest payments and for the last 15 years the entities make principal and interest payments. </w:t>
      </w:r>
    </w:p>
    <w:p w:rsidR="00264663" w:rsidRDefault="00B65734" w:rsidP="00262324">
      <w:pPr>
        <w:widowControl w:val="0"/>
        <w:tabs>
          <w:tab w:val="num" w:pos="-360"/>
        </w:tabs>
        <w:autoSpaceDE w:val="0"/>
        <w:autoSpaceDN w:val="0"/>
        <w:adjustRightInd w:val="0"/>
        <w:spacing w:before="120" w:after="120" w:line="240" w:lineRule="auto"/>
        <w:jc w:val="both"/>
        <w:rPr>
          <w:rFonts w:ascii="Garamond" w:hAnsi="Garamond"/>
          <w:sz w:val="24"/>
          <w:szCs w:val="24"/>
        </w:rPr>
      </w:pPr>
      <w:r>
        <w:rPr>
          <w:rFonts w:ascii="Garamond" w:hAnsi="Garamond"/>
          <w:sz w:val="24"/>
          <w:szCs w:val="24"/>
        </w:rPr>
        <w:t>Ms. Callahan said that h</w:t>
      </w:r>
      <w:r w:rsidR="00264663">
        <w:rPr>
          <w:rFonts w:ascii="Garamond" w:hAnsi="Garamond"/>
          <w:sz w:val="24"/>
          <w:szCs w:val="24"/>
        </w:rPr>
        <w:t xml:space="preserve">istorically </w:t>
      </w:r>
      <w:r w:rsidR="009D03ED">
        <w:rPr>
          <w:rFonts w:ascii="Garamond" w:hAnsi="Garamond"/>
          <w:sz w:val="24"/>
          <w:szCs w:val="24"/>
        </w:rPr>
        <w:t xml:space="preserve">the SP Program </w:t>
      </w:r>
      <w:r w:rsidR="00264663">
        <w:rPr>
          <w:rFonts w:ascii="Garamond" w:hAnsi="Garamond"/>
          <w:sz w:val="24"/>
          <w:szCs w:val="24"/>
        </w:rPr>
        <w:t xml:space="preserve">has never </w:t>
      </w:r>
      <w:r w:rsidR="009D03ED">
        <w:rPr>
          <w:rFonts w:ascii="Garamond" w:hAnsi="Garamond"/>
          <w:sz w:val="24"/>
          <w:szCs w:val="24"/>
        </w:rPr>
        <w:t xml:space="preserve">had a </w:t>
      </w:r>
      <w:r w:rsidR="00264663">
        <w:rPr>
          <w:rFonts w:ascii="Garamond" w:hAnsi="Garamond"/>
          <w:sz w:val="24"/>
          <w:szCs w:val="24"/>
        </w:rPr>
        <w:t>prepa</w:t>
      </w:r>
      <w:r>
        <w:rPr>
          <w:rFonts w:ascii="Garamond" w:hAnsi="Garamond"/>
          <w:sz w:val="24"/>
          <w:szCs w:val="24"/>
        </w:rPr>
        <w:t>yment or default</w:t>
      </w:r>
      <w:r w:rsidR="00C54FD0">
        <w:rPr>
          <w:rFonts w:ascii="Garamond" w:hAnsi="Garamond"/>
          <w:sz w:val="24"/>
          <w:szCs w:val="24"/>
        </w:rPr>
        <w:t>, and the TWDB</w:t>
      </w:r>
      <w:r w:rsidR="00264663">
        <w:rPr>
          <w:rFonts w:ascii="Garamond" w:hAnsi="Garamond"/>
          <w:sz w:val="24"/>
          <w:szCs w:val="24"/>
        </w:rPr>
        <w:t xml:space="preserve"> </w:t>
      </w:r>
      <w:r w:rsidR="00C54FD0">
        <w:rPr>
          <w:rFonts w:ascii="Garamond" w:hAnsi="Garamond"/>
          <w:sz w:val="24"/>
          <w:szCs w:val="24"/>
        </w:rPr>
        <w:t>has calculated a debt cover</w:t>
      </w:r>
      <w:r>
        <w:rPr>
          <w:rFonts w:ascii="Garamond" w:hAnsi="Garamond"/>
          <w:sz w:val="24"/>
          <w:szCs w:val="24"/>
        </w:rPr>
        <w:t>age ratio of approximately 1.29</w:t>
      </w:r>
      <w:r w:rsidR="00C54FD0">
        <w:rPr>
          <w:rFonts w:ascii="Garamond" w:hAnsi="Garamond"/>
          <w:sz w:val="24"/>
          <w:szCs w:val="24"/>
        </w:rPr>
        <w:t xml:space="preserve"> within the program. </w:t>
      </w:r>
      <w:r w:rsidR="00801D0D">
        <w:rPr>
          <w:rFonts w:ascii="Garamond" w:hAnsi="Garamond"/>
          <w:sz w:val="24"/>
          <w:szCs w:val="24"/>
        </w:rPr>
        <w:t xml:space="preserve">The TWDB has a financial monitoring team whose specific objective is to protect the financial health of the Board’s loan portfolio, and the statutory, regulatory and contractual integrity of its financial assistance programs by assisting and monitoring assistance recipients in matters of finance-related, legal and contractual compliance. </w:t>
      </w:r>
      <w:r w:rsidR="00E46805">
        <w:rPr>
          <w:rFonts w:ascii="Garamond" w:hAnsi="Garamond"/>
          <w:sz w:val="24"/>
          <w:szCs w:val="24"/>
        </w:rPr>
        <w:t xml:space="preserve">Ms. Callahan also mentioned that TWDB does not anticipate </w:t>
      </w:r>
      <w:r w:rsidR="00E837FC">
        <w:rPr>
          <w:rFonts w:ascii="Garamond" w:hAnsi="Garamond"/>
          <w:sz w:val="24"/>
          <w:szCs w:val="24"/>
        </w:rPr>
        <w:t>needing</w:t>
      </w:r>
      <w:r w:rsidR="00E46805">
        <w:rPr>
          <w:rFonts w:ascii="Garamond" w:hAnsi="Garamond"/>
          <w:sz w:val="24"/>
          <w:szCs w:val="24"/>
        </w:rPr>
        <w:t xml:space="preserve"> general revenue funds to pay the debt service on </w:t>
      </w:r>
      <w:r w:rsidR="009D03ED">
        <w:rPr>
          <w:rFonts w:ascii="Garamond" w:hAnsi="Garamond"/>
          <w:sz w:val="24"/>
          <w:szCs w:val="24"/>
        </w:rPr>
        <w:t xml:space="preserve">the </w:t>
      </w:r>
      <w:r w:rsidR="00E837FC">
        <w:rPr>
          <w:rFonts w:ascii="Garamond" w:hAnsi="Garamond"/>
          <w:sz w:val="24"/>
          <w:szCs w:val="24"/>
        </w:rPr>
        <w:t>bonds</w:t>
      </w:r>
      <w:r w:rsidR="009D03ED">
        <w:rPr>
          <w:rFonts w:ascii="Garamond" w:hAnsi="Garamond"/>
          <w:sz w:val="24"/>
          <w:szCs w:val="24"/>
        </w:rPr>
        <w:t xml:space="preserve"> to be reclassifed</w:t>
      </w:r>
      <w:r w:rsidR="00E46805">
        <w:rPr>
          <w:rFonts w:ascii="Garamond" w:hAnsi="Garamond"/>
          <w:sz w:val="24"/>
          <w:szCs w:val="24"/>
        </w:rPr>
        <w:t xml:space="preserve">. </w:t>
      </w:r>
    </w:p>
    <w:p w:rsidR="00262324" w:rsidRDefault="00F63CCC" w:rsidP="00262324">
      <w:pPr>
        <w:pStyle w:val="ListParagraph"/>
        <w:numPr>
          <w:ilvl w:val="0"/>
          <w:numId w:val="1"/>
        </w:numPr>
        <w:tabs>
          <w:tab w:val="clear" w:pos="180"/>
          <w:tab w:val="num" w:pos="-1620"/>
        </w:tabs>
        <w:spacing w:before="100" w:beforeAutospacing="1" w:after="120"/>
        <w:ind w:left="547" w:hanging="360"/>
        <w:rPr>
          <w:b/>
        </w:rPr>
      </w:pPr>
      <w:r w:rsidRPr="006E29E6">
        <w:rPr>
          <w:b/>
        </w:rPr>
        <w:t>Public Comment</w:t>
      </w:r>
    </w:p>
    <w:p w:rsidR="006E29E6" w:rsidRPr="00262324" w:rsidRDefault="006E29E6" w:rsidP="00863BAE">
      <w:pPr>
        <w:pStyle w:val="ListParagraph"/>
        <w:ind w:left="0"/>
        <w:rPr>
          <w:b/>
        </w:rPr>
      </w:pPr>
      <w:r w:rsidRPr="00262324">
        <w:t>There were no public comments</w:t>
      </w:r>
      <w:r w:rsidRPr="00262324">
        <w:tab/>
      </w:r>
    </w:p>
    <w:p w:rsidR="00F63CCC" w:rsidRPr="006E29E6" w:rsidRDefault="00F63CCC" w:rsidP="00C54FD0">
      <w:pPr>
        <w:numPr>
          <w:ilvl w:val="0"/>
          <w:numId w:val="1"/>
        </w:numPr>
        <w:tabs>
          <w:tab w:val="clear" w:pos="180"/>
          <w:tab w:val="num" w:pos="-1710"/>
          <w:tab w:val="num" w:pos="-1620"/>
          <w:tab w:val="num" w:pos="-1530"/>
        </w:tabs>
        <w:spacing w:before="100" w:beforeAutospacing="1" w:after="100" w:afterAutospacing="1" w:line="240" w:lineRule="auto"/>
        <w:ind w:left="548" w:hanging="274"/>
        <w:rPr>
          <w:rFonts w:ascii="Garamond" w:hAnsi="Garamond"/>
          <w:b/>
          <w:sz w:val="24"/>
          <w:szCs w:val="24"/>
        </w:rPr>
      </w:pPr>
      <w:r w:rsidRPr="00F63CCC">
        <w:rPr>
          <w:rFonts w:ascii="Garamond" w:hAnsi="Garamond"/>
          <w:b/>
          <w:sz w:val="24"/>
          <w:szCs w:val="24"/>
        </w:rPr>
        <w:t>Adjourn</w:t>
      </w:r>
    </w:p>
    <w:p w:rsidR="00F63CCC" w:rsidRPr="00F63CCC" w:rsidRDefault="00863BAE" w:rsidP="00B65734">
      <w:pPr>
        <w:tabs>
          <w:tab w:val="num" w:pos="-360"/>
        </w:tabs>
        <w:spacing w:before="100" w:beforeAutospacing="1" w:after="100" w:afterAutospacing="1" w:line="240" w:lineRule="auto"/>
        <w:ind w:left="-180"/>
        <w:jc w:val="both"/>
        <w:rPr>
          <w:rFonts w:ascii="Garamond" w:hAnsi="Garamond"/>
          <w:b/>
          <w:sz w:val="24"/>
          <w:szCs w:val="24"/>
        </w:rPr>
      </w:pPr>
      <w:r>
        <w:rPr>
          <w:rFonts w:ascii="Garamond" w:hAnsi="Garamond"/>
          <w:sz w:val="24"/>
          <w:szCs w:val="24"/>
        </w:rPr>
        <w:t xml:space="preserve"> </w:t>
      </w:r>
      <w:r w:rsidR="00F63CCC" w:rsidRPr="00F63CCC">
        <w:rPr>
          <w:rFonts w:ascii="Garamond" w:hAnsi="Garamond"/>
          <w:sz w:val="24"/>
          <w:szCs w:val="24"/>
        </w:rPr>
        <w:t xml:space="preserve"> </w:t>
      </w:r>
      <w:r w:rsidR="006E29E6" w:rsidRPr="006E29E6">
        <w:rPr>
          <w:rFonts w:ascii="Garamond" w:hAnsi="Garamond"/>
          <w:sz w:val="24"/>
          <w:szCs w:val="24"/>
        </w:rPr>
        <w:t>T</w:t>
      </w:r>
      <w:r w:rsidR="00F63CCC" w:rsidRPr="006E29E6">
        <w:rPr>
          <w:rFonts w:ascii="Garamond" w:hAnsi="Garamond"/>
          <w:sz w:val="24"/>
          <w:szCs w:val="24"/>
        </w:rPr>
        <w:t>here</w:t>
      </w:r>
      <w:r w:rsidR="00F63CCC" w:rsidRPr="00F63CCC">
        <w:rPr>
          <w:rFonts w:ascii="Garamond" w:hAnsi="Garamond"/>
          <w:b/>
          <w:sz w:val="24"/>
          <w:szCs w:val="24"/>
        </w:rPr>
        <w:t xml:space="preserve"> </w:t>
      </w:r>
      <w:r w:rsidR="00F63CCC" w:rsidRPr="006E29E6">
        <w:rPr>
          <w:rFonts w:ascii="Garamond" w:hAnsi="Garamond"/>
          <w:sz w:val="24"/>
          <w:szCs w:val="24"/>
        </w:rPr>
        <w:t>being no further business to discuss, th</w:t>
      </w:r>
      <w:r w:rsidR="006E29E6" w:rsidRPr="006E29E6">
        <w:rPr>
          <w:rFonts w:ascii="Garamond" w:hAnsi="Garamond"/>
          <w:sz w:val="24"/>
          <w:szCs w:val="24"/>
        </w:rPr>
        <w:t xml:space="preserve">e </w:t>
      </w:r>
      <w:r w:rsidR="00F63CCC" w:rsidRPr="006E29E6">
        <w:rPr>
          <w:rFonts w:ascii="Garamond" w:hAnsi="Garamond"/>
          <w:sz w:val="24"/>
          <w:szCs w:val="24"/>
        </w:rPr>
        <w:t>planning session adjourned</w:t>
      </w:r>
      <w:r w:rsidR="006E29E6" w:rsidRPr="006E29E6">
        <w:rPr>
          <w:rFonts w:ascii="Garamond" w:hAnsi="Garamond"/>
          <w:sz w:val="24"/>
          <w:szCs w:val="24"/>
        </w:rPr>
        <w:t xml:space="preserve"> at 10:21 a.m</w:t>
      </w:r>
      <w:r w:rsidR="00F63CCC" w:rsidRPr="006E29E6">
        <w:rPr>
          <w:rFonts w:ascii="Garamond" w:hAnsi="Garamond"/>
          <w:sz w:val="24"/>
          <w:szCs w:val="24"/>
        </w:rPr>
        <w:t>.</w:t>
      </w:r>
    </w:p>
    <w:p w:rsidR="00F63CCC" w:rsidRDefault="00F63CCC"/>
    <w:sectPr w:rsidR="00F63CCC" w:rsidSect="008445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BAE" w:rsidRDefault="00863BAE" w:rsidP="00844507">
      <w:pPr>
        <w:spacing w:after="0" w:line="240" w:lineRule="auto"/>
      </w:pPr>
      <w:r>
        <w:separator/>
      </w:r>
    </w:p>
  </w:endnote>
  <w:endnote w:type="continuationSeparator" w:id="0">
    <w:p w:rsidR="00863BAE" w:rsidRDefault="00863BAE" w:rsidP="00844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3D" w:rsidRDefault="00535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3D" w:rsidRDefault="00535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3D" w:rsidRDefault="00535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BAE" w:rsidRDefault="00863BAE" w:rsidP="00844507">
      <w:pPr>
        <w:spacing w:after="0" w:line="240" w:lineRule="auto"/>
      </w:pPr>
      <w:r>
        <w:separator/>
      </w:r>
    </w:p>
  </w:footnote>
  <w:footnote w:type="continuationSeparator" w:id="0">
    <w:p w:rsidR="00863BAE" w:rsidRDefault="00863BAE" w:rsidP="00844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3D" w:rsidRDefault="00535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4"/>
        <w:szCs w:val="24"/>
      </w:rPr>
      <w:id w:val="29750282"/>
      <w:docPartObj>
        <w:docPartGallery w:val="Page Numbers (Top of Page)"/>
        <w:docPartUnique/>
      </w:docPartObj>
    </w:sdtPr>
    <w:sdtContent>
      <w:p w:rsidR="00863BAE" w:rsidRPr="00110302" w:rsidRDefault="00863BAE" w:rsidP="00110302">
        <w:pPr>
          <w:pStyle w:val="Header"/>
          <w:rPr>
            <w:rFonts w:ascii="Garamond" w:hAnsi="Garamond"/>
            <w:sz w:val="24"/>
            <w:szCs w:val="24"/>
          </w:rPr>
        </w:pPr>
        <w:r w:rsidRPr="00110302">
          <w:rPr>
            <w:rFonts w:ascii="Garamond" w:hAnsi="Garamond"/>
            <w:sz w:val="24"/>
            <w:szCs w:val="24"/>
          </w:rPr>
          <w:t>Minutes Planning Session</w:t>
        </w:r>
        <w:r w:rsidRPr="00110302">
          <w:rPr>
            <w:rFonts w:ascii="Garamond" w:hAnsi="Garamond"/>
            <w:sz w:val="24"/>
            <w:szCs w:val="24"/>
          </w:rPr>
          <w:tab/>
        </w:r>
        <w:r w:rsidRPr="00110302">
          <w:rPr>
            <w:rFonts w:ascii="Garamond" w:hAnsi="Garamond"/>
            <w:sz w:val="24"/>
            <w:szCs w:val="24"/>
          </w:rPr>
          <w:tab/>
        </w:r>
        <w:r w:rsidR="00034503" w:rsidRPr="00110302">
          <w:rPr>
            <w:rFonts w:ascii="Garamond" w:hAnsi="Garamond"/>
            <w:sz w:val="24"/>
            <w:szCs w:val="24"/>
          </w:rPr>
          <w:fldChar w:fldCharType="begin"/>
        </w:r>
        <w:r w:rsidRPr="00110302">
          <w:rPr>
            <w:rFonts w:ascii="Garamond" w:hAnsi="Garamond"/>
            <w:sz w:val="24"/>
            <w:szCs w:val="24"/>
          </w:rPr>
          <w:instrText xml:space="preserve"> PAGE   \* MERGEFORMAT </w:instrText>
        </w:r>
        <w:r w:rsidR="00034503" w:rsidRPr="00110302">
          <w:rPr>
            <w:rFonts w:ascii="Garamond" w:hAnsi="Garamond"/>
            <w:sz w:val="24"/>
            <w:szCs w:val="24"/>
          </w:rPr>
          <w:fldChar w:fldCharType="separate"/>
        </w:r>
        <w:r w:rsidR="0053503D">
          <w:rPr>
            <w:rFonts w:ascii="Garamond" w:hAnsi="Garamond"/>
            <w:noProof/>
            <w:sz w:val="24"/>
            <w:szCs w:val="24"/>
          </w:rPr>
          <w:t>2</w:t>
        </w:r>
        <w:r w:rsidR="00034503" w:rsidRPr="00110302">
          <w:rPr>
            <w:rFonts w:ascii="Garamond" w:hAnsi="Garamond"/>
            <w:sz w:val="24"/>
            <w:szCs w:val="24"/>
          </w:rPr>
          <w:fldChar w:fldCharType="end"/>
        </w:r>
      </w:p>
    </w:sdtContent>
  </w:sdt>
  <w:p w:rsidR="00863BAE" w:rsidRPr="00110302" w:rsidRDefault="00863BAE">
    <w:pPr>
      <w:pStyle w:val="Header"/>
      <w:rPr>
        <w:rFonts w:ascii="Garamond" w:hAnsi="Garamond"/>
        <w:sz w:val="24"/>
        <w:szCs w:val="24"/>
      </w:rPr>
    </w:pPr>
    <w:r w:rsidRPr="00110302">
      <w:rPr>
        <w:rFonts w:ascii="Garamond" w:hAnsi="Garamond"/>
        <w:sz w:val="24"/>
        <w:szCs w:val="24"/>
      </w:rPr>
      <w:t>June 10,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3D" w:rsidRDefault="0053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48EE"/>
    <w:multiLevelType w:val="hybridMultilevel"/>
    <w:tmpl w:val="91CCA70E"/>
    <w:lvl w:ilvl="0" w:tplc="E81ABEA0">
      <w:start w:val="3"/>
      <w:numFmt w:val="upperRoman"/>
      <w:lvlText w:val="%1."/>
      <w:lvlJc w:val="right"/>
      <w:pPr>
        <w:tabs>
          <w:tab w:val="num" w:pos="180"/>
        </w:tabs>
        <w:ind w:left="18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AC10BC1"/>
    <w:multiLevelType w:val="hybridMultilevel"/>
    <w:tmpl w:val="5BF684C0"/>
    <w:lvl w:ilvl="0" w:tplc="A9C0A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63CCC"/>
    <w:rsid w:val="00017925"/>
    <w:rsid w:val="00034503"/>
    <w:rsid w:val="0009711E"/>
    <w:rsid w:val="000F684D"/>
    <w:rsid w:val="00110302"/>
    <w:rsid w:val="001B7E2B"/>
    <w:rsid w:val="001E44F2"/>
    <w:rsid w:val="00207958"/>
    <w:rsid w:val="00207EF7"/>
    <w:rsid w:val="00237949"/>
    <w:rsid w:val="00262324"/>
    <w:rsid w:val="00264663"/>
    <w:rsid w:val="00385F0A"/>
    <w:rsid w:val="003C16F5"/>
    <w:rsid w:val="003F79E9"/>
    <w:rsid w:val="004B1A18"/>
    <w:rsid w:val="0053503D"/>
    <w:rsid w:val="00572B62"/>
    <w:rsid w:val="00611AE3"/>
    <w:rsid w:val="006B6192"/>
    <w:rsid w:val="006E29E6"/>
    <w:rsid w:val="00784AA7"/>
    <w:rsid w:val="00801D0D"/>
    <w:rsid w:val="00844507"/>
    <w:rsid w:val="00863BAE"/>
    <w:rsid w:val="008E32A7"/>
    <w:rsid w:val="009351C1"/>
    <w:rsid w:val="009D03ED"/>
    <w:rsid w:val="00A554E0"/>
    <w:rsid w:val="00A96DAD"/>
    <w:rsid w:val="00B4432F"/>
    <w:rsid w:val="00B65734"/>
    <w:rsid w:val="00C51456"/>
    <w:rsid w:val="00C54FD0"/>
    <w:rsid w:val="00DD06AE"/>
    <w:rsid w:val="00DF17FF"/>
    <w:rsid w:val="00E46805"/>
    <w:rsid w:val="00E837FC"/>
    <w:rsid w:val="00F63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63CCC"/>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F63CCC"/>
    <w:rPr>
      <w:rFonts w:ascii="Cambria" w:eastAsia="Times New Roman" w:hAnsi="Cambria" w:cs="Times New Roman"/>
      <w:lang w:bidi="en-US"/>
    </w:rPr>
  </w:style>
  <w:style w:type="paragraph" w:customStyle="1" w:styleId="AgendaCharChar">
    <w:name w:val="Agenda Char Char"/>
    <w:basedOn w:val="Normal"/>
    <w:link w:val="AgendaCharCharChar"/>
    <w:rsid w:val="00F63CCC"/>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ListParagraph">
    <w:name w:val="List Paragraph"/>
    <w:basedOn w:val="Normal"/>
    <w:uiPriority w:val="34"/>
    <w:qFormat/>
    <w:rsid w:val="00F63CCC"/>
    <w:pPr>
      <w:spacing w:after="0" w:line="240" w:lineRule="auto"/>
      <w:ind w:left="720"/>
      <w:contextualSpacing/>
    </w:pPr>
    <w:rPr>
      <w:rFonts w:ascii="Garamond" w:eastAsia="Times New Roman" w:hAnsi="Garamond" w:cs="Times New Roman"/>
      <w:sz w:val="24"/>
      <w:szCs w:val="24"/>
    </w:rPr>
  </w:style>
  <w:style w:type="paragraph" w:styleId="Header">
    <w:name w:val="header"/>
    <w:basedOn w:val="Normal"/>
    <w:link w:val="HeaderChar"/>
    <w:uiPriority w:val="99"/>
    <w:unhideWhenUsed/>
    <w:rsid w:val="0084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07"/>
  </w:style>
  <w:style w:type="paragraph" w:styleId="Footer">
    <w:name w:val="footer"/>
    <w:basedOn w:val="Normal"/>
    <w:link w:val="FooterChar"/>
    <w:uiPriority w:val="99"/>
    <w:semiHidden/>
    <w:unhideWhenUsed/>
    <w:rsid w:val="008445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507"/>
  </w:style>
  <w:style w:type="table" w:styleId="TableGrid">
    <w:name w:val="Table Grid"/>
    <w:basedOn w:val="TableNormal"/>
    <w:uiPriority w:val="1"/>
    <w:rsid w:val="0084450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3DDB-2048-4334-B9D9-A254D70B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2014-04-17T17:09:00Z</dcterms:created>
  <dcterms:modified xsi:type="dcterms:W3CDTF">2014-04-17T17:09:00Z</dcterms:modified>
</cp:coreProperties>
</file>